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9187" w14:textId="72EBE0B8" w:rsidR="00DE5579" w:rsidRPr="00DE5579" w:rsidRDefault="00DE5579" w:rsidP="00DE5579">
      <w:pPr>
        <w:rPr>
          <w:rFonts w:ascii="Times New Roman" w:hAnsi="Times New Roman" w:cs="Times New Roman"/>
          <w:b/>
          <w:bCs/>
          <w:lang w:val="en-GB"/>
        </w:rPr>
      </w:pPr>
      <w:r w:rsidRPr="00DE5579">
        <w:rPr>
          <w:rFonts w:ascii="Times New Roman" w:hAnsi="Times New Roman" w:cs="Times New Roman"/>
          <w:b/>
          <w:bCs/>
          <w:lang w:val="en-GB"/>
        </w:rPr>
        <w:t>Letter of Support for ACT-TWIN</w:t>
      </w:r>
      <w:r w:rsidRPr="00DE5579">
        <w:rPr>
          <w:rFonts w:ascii="Times New Roman" w:hAnsi="Times New Roman" w:cs="Times New Roman"/>
          <w:b/>
          <w:bCs/>
          <w:lang w:val="en-GB"/>
        </w:rPr>
        <w:br/>
      </w:r>
      <w:proofErr w:type="spellStart"/>
      <w:r w:rsidRPr="00DE5579">
        <w:rPr>
          <w:rFonts w:ascii="Times New Roman" w:hAnsi="Times New Roman" w:cs="Times New Roman"/>
          <w:b/>
          <w:bCs/>
          <w:lang w:val="en-GB"/>
        </w:rPr>
        <w:t>ACT-TWIN</w:t>
      </w:r>
      <w:proofErr w:type="spellEnd"/>
      <w:r w:rsidRPr="00DE5579">
        <w:rPr>
          <w:rFonts w:ascii="Times New Roman" w:hAnsi="Times New Roman" w:cs="Times New Roman"/>
          <w:b/>
          <w:bCs/>
          <w:lang w:val="en-GB"/>
        </w:rPr>
        <w:t>: Human-in-the-Loop Immersive Simulation Centre of Excellence for Socio-Technical Systems</w:t>
      </w:r>
    </w:p>
    <w:p w14:paraId="1278BA27" w14:textId="77777777" w:rsidR="00DE5579" w:rsidRPr="00DE5579" w:rsidRDefault="00DE5579" w:rsidP="00DE5579">
      <w:pPr>
        <w:jc w:val="both"/>
        <w:rPr>
          <w:rFonts w:ascii="Times New Roman" w:hAnsi="Times New Roman" w:cs="Times New Roman"/>
          <w:b/>
          <w:bCs/>
          <w:lang w:val="en-GB"/>
        </w:rPr>
      </w:pPr>
    </w:p>
    <w:p w14:paraId="7D95C8D7" w14:textId="77777777" w:rsidR="00861E5D" w:rsidRDefault="00861E5D" w:rsidP="00861E5D">
      <w:pPr>
        <w:jc w:val="both"/>
        <w:rPr>
          <w:rFonts w:ascii="Times New Roman" w:hAnsi="Times New Roman" w:cs="Times New Roman"/>
          <w:lang w:val="en-GB"/>
        </w:rPr>
      </w:pPr>
      <w:r w:rsidRPr="00861E5D">
        <w:rPr>
          <w:rFonts w:ascii="Times New Roman" w:hAnsi="Times New Roman" w:cs="Times New Roman"/>
          <w:lang w:val="en-GB"/>
        </w:rPr>
        <w:t>To whom it may concern,</w:t>
      </w:r>
    </w:p>
    <w:p w14:paraId="1213B072" w14:textId="77777777" w:rsidR="00861E5D" w:rsidRPr="00861E5D" w:rsidRDefault="00861E5D" w:rsidP="00861E5D">
      <w:pPr>
        <w:jc w:val="both"/>
        <w:rPr>
          <w:rFonts w:ascii="Times New Roman" w:hAnsi="Times New Roman" w:cs="Times New Roman"/>
          <w:lang w:val="en-GB"/>
        </w:rPr>
      </w:pPr>
    </w:p>
    <w:p w14:paraId="7646D5AA" w14:textId="77777777" w:rsidR="00861E5D" w:rsidRPr="00861E5D" w:rsidRDefault="00861E5D" w:rsidP="00861E5D">
      <w:pPr>
        <w:jc w:val="both"/>
        <w:rPr>
          <w:rFonts w:ascii="Times New Roman" w:hAnsi="Times New Roman" w:cs="Times New Roman"/>
          <w:lang w:val="en-GB"/>
        </w:rPr>
      </w:pPr>
      <w:r w:rsidRPr="00861E5D">
        <w:rPr>
          <w:rFonts w:ascii="Times New Roman" w:hAnsi="Times New Roman" w:cs="Times New Roman"/>
          <w:lang w:val="en-GB"/>
        </w:rPr>
        <w:t xml:space="preserve">The Ministry of Economic Affairs </w:t>
      </w:r>
      <w:r w:rsidRPr="00861E5D">
        <w:rPr>
          <w:rFonts w:ascii="Times New Roman" w:hAnsi="Times New Roman" w:cs="Times New Roman"/>
          <w:i/>
          <w:iCs/>
          <w:lang w:val="en-GB"/>
        </w:rPr>
        <w:t>(</w:t>
      </w:r>
      <w:proofErr w:type="spellStart"/>
      <w:r w:rsidRPr="00861E5D">
        <w:rPr>
          <w:rFonts w:ascii="Times New Roman" w:hAnsi="Times New Roman" w:cs="Times New Roman"/>
          <w:i/>
          <w:iCs/>
          <w:lang w:val="en-GB"/>
        </w:rPr>
        <w:t>Suur-Ameerika</w:t>
      </w:r>
      <w:proofErr w:type="spellEnd"/>
      <w:r w:rsidRPr="00861E5D">
        <w:rPr>
          <w:rFonts w:ascii="Times New Roman" w:hAnsi="Times New Roman" w:cs="Times New Roman"/>
          <w:i/>
          <w:iCs/>
          <w:lang w:val="en-GB"/>
        </w:rPr>
        <w:t xml:space="preserve"> 1, 10122 Tallinn, Estonia; registry code 70003158)</w:t>
      </w:r>
      <w:r w:rsidRPr="00861E5D">
        <w:rPr>
          <w:rFonts w:ascii="Times New Roman" w:hAnsi="Times New Roman" w:cs="Times New Roman"/>
          <w:lang w:val="en-GB"/>
        </w:rPr>
        <w:t xml:space="preserve"> expresses its support for the Horizon Europe Twinning proposal ACT-TWIN: Human-in-the-Loop Immersive Simulation Centre of Excellence for Socio-Technical Systems, coordinated by Tallinn University of Technology (</w:t>
      </w:r>
      <w:proofErr w:type="spellStart"/>
      <w:r w:rsidRPr="00861E5D">
        <w:rPr>
          <w:rFonts w:ascii="Times New Roman" w:hAnsi="Times New Roman" w:cs="Times New Roman"/>
          <w:lang w:val="en-GB"/>
        </w:rPr>
        <w:t>TalTech</w:t>
      </w:r>
      <w:proofErr w:type="spellEnd"/>
      <w:r w:rsidRPr="00861E5D">
        <w:rPr>
          <w:rFonts w:ascii="Times New Roman" w:hAnsi="Times New Roman" w:cs="Times New Roman"/>
          <w:lang w:val="en-GB"/>
        </w:rPr>
        <w:t>).</w:t>
      </w:r>
    </w:p>
    <w:p w14:paraId="167FDAD0" w14:textId="77777777" w:rsidR="00861E5D" w:rsidRPr="00861E5D" w:rsidRDefault="00861E5D" w:rsidP="00861E5D">
      <w:pPr>
        <w:jc w:val="both"/>
        <w:rPr>
          <w:rFonts w:ascii="Times New Roman" w:hAnsi="Times New Roman" w:cs="Times New Roman"/>
          <w:lang w:val="en-GB"/>
        </w:rPr>
      </w:pPr>
      <w:r w:rsidRPr="00861E5D">
        <w:rPr>
          <w:rFonts w:ascii="Times New Roman" w:hAnsi="Times New Roman" w:cs="Times New Roman"/>
          <w:lang w:val="en-GB"/>
        </w:rPr>
        <w:t>We consider ACT-TWIN to be highly relevant to both Estonia’s and Europe’s economic development priorities, especially in strengthening the capacity to translate scientific and technological excellence into deployable, adoptable, and economically relevant socio-technical solutions. In this way, the project addresses the European Paradox and supports the long-term goal of strengthening technological autonomy. The project also addresses an important structural challenge: the gap between strong technical research capabilities and the institutional mechanisms needed for interdisciplinary validation, stakeholder engagement, and knowledge valorisation.</w:t>
      </w:r>
    </w:p>
    <w:p w14:paraId="41FA215F" w14:textId="77777777" w:rsidR="00861E5D" w:rsidRPr="00861E5D" w:rsidRDefault="00861E5D" w:rsidP="00861E5D">
      <w:pPr>
        <w:jc w:val="both"/>
        <w:rPr>
          <w:rFonts w:ascii="Times New Roman" w:hAnsi="Times New Roman" w:cs="Times New Roman"/>
          <w:lang w:val="en-GB"/>
        </w:rPr>
      </w:pPr>
      <w:r w:rsidRPr="00861E5D">
        <w:rPr>
          <w:rFonts w:ascii="Times New Roman" w:hAnsi="Times New Roman" w:cs="Times New Roman"/>
          <w:lang w:val="en-GB"/>
        </w:rPr>
        <w:t>From the perspective of economic policy and innovation capacity, the project is particularly relevant because it supports:</w:t>
      </w:r>
    </w:p>
    <w:p w14:paraId="33DF221D" w14:textId="77777777" w:rsidR="00861E5D" w:rsidRPr="00861E5D" w:rsidRDefault="00861E5D" w:rsidP="00861E5D">
      <w:pPr>
        <w:numPr>
          <w:ilvl w:val="0"/>
          <w:numId w:val="2"/>
        </w:numPr>
        <w:jc w:val="both"/>
        <w:rPr>
          <w:rFonts w:ascii="Times New Roman" w:hAnsi="Times New Roman" w:cs="Times New Roman"/>
          <w:lang w:val="en-GB"/>
        </w:rPr>
      </w:pPr>
      <w:r w:rsidRPr="00861E5D">
        <w:rPr>
          <w:rFonts w:ascii="Times New Roman" w:hAnsi="Times New Roman" w:cs="Times New Roman"/>
          <w:lang w:val="en-GB"/>
        </w:rPr>
        <w:t xml:space="preserve">stronger links between research organisations, public-sector problem owners, and </w:t>
      </w:r>
      <w:proofErr w:type="gramStart"/>
      <w:r w:rsidRPr="00861E5D">
        <w:rPr>
          <w:rFonts w:ascii="Times New Roman" w:hAnsi="Times New Roman" w:cs="Times New Roman"/>
          <w:lang w:val="en-GB"/>
        </w:rPr>
        <w:t>industry;</w:t>
      </w:r>
      <w:proofErr w:type="gramEnd"/>
      <w:r w:rsidRPr="00861E5D">
        <w:rPr>
          <w:rFonts w:ascii="Times New Roman" w:hAnsi="Times New Roman" w:cs="Times New Roman"/>
          <w:lang w:val="en-GB"/>
        </w:rPr>
        <w:t xml:space="preserve"> </w:t>
      </w:r>
    </w:p>
    <w:p w14:paraId="122C7BE5" w14:textId="77777777" w:rsidR="00861E5D" w:rsidRPr="00861E5D" w:rsidRDefault="00861E5D" w:rsidP="00861E5D">
      <w:pPr>
        <w:numPr>
          <w:ilvl w:val="0"/>
          <w:numId w:val="2"/>
        </w:numPr>
        <w:jc w:val="both"/>
        <w:rPr>
          <w:rFonts w:ascii="Times New Roman" w:hAnsi="Times New Roman" w:cs="Times New Roman"/>
          <w:lang w:val="en-GB"/>
        </w:rPr>
      </w:pPr>
      <w:r w:rsidRPr="00861E5D">
        <w:rPr>
          <w:rFonts w:ascii="Times New Roman" w:hAnsi="Times New Roman" w:cs="Times New Roman"/>
          <w:lang w:val="en-GB"/>
        </w:rPr>
        <w:t xml:space="preserve">the development and validation of human-centred solutions in areas such as digital technologies, AI-enabled systems, energy, and other socio-technical domains; and </w:t>
      </w:r>
    </w:p>
    <w:p w14:paraId="4F99ACFF" w14:textId="77777777" w:rsidR="00861E5D" w:rsidRPr="00861E5D" w:rsidRDefault="00861E5D" w:rsidP="00861E5D">
      <w:pPr>
        <w:numPr>
          <w:ilvl w:val="0"/>
          <w:numId w:val="2"/>
        </w:numPr>
        <w:jc w:val="both"/>
        <w:rPr>
          <w:rFonts w:ascii="Times New Roman" w:hAnsi="Times New Roman" w:cs="Times New Roman"/>
          <w:lang w:val="en-GB"/>
        </w:rPr>
      </w:pPr>
      <w:r w:rsidRPr="00861E5D">
        <w:rPr>
          <w:rFonts w:ascii="Times New Roman" w:hAnsi="Times New Roman" w:cs="Times New Roman"/>
          <w:lang w:val="en-GB"/>
        </w:rPr>
        <w:t xml:space="preserve">improved conditions for innovation uptake, knowledge valorisation, and future collaboration between research and application environments. </w:t>
      </w:r>
    </w:p>
    <w:p w14:paraId="558EA44D" w14:textId="77777777" w:rsidR="00861E5D" w:rsidRPr="00861E5D" w:rsidRDefault="00861E5D" w:rsidP="00861E5D">
      <w:pPr>
        <w:jc w:val="both"/>
        <w:rPr>
          <w:rFonts w:ascii="Times New Roman" w:hAnsi="Times New Roman" w:cs="Times New Roman"/>
          <w:lang w:val="en-GB"/>
        </w:rPr>
      </w:pPr>
      <w:r w:rsidRPr="00861E5D">
        <w:rPr>
          <w:rFonts w:ascii="Times New Roman" w:hAnsi="Times New Roman" w:cs="Times New Roman"/>
          <w:lang w:val="en-GB"/>
        </w:rPr>
        <w:t>Subject to applicable procedures, mandates, and the availability of relevant publicly funded testing facilities, the Ministry is willing to support the project through cooperation related to the testing and validation of selected demonstrators. This may include facilitating contact with relevant subordinate institutions, agencies, or affiliated environments that can provide access to suitable testbeds and piloting contexts for project demonstrations, where appropriate and feasible.</w:t>
      </w:r>
    </w:p>
    <w:p w14:paraId="5C420CDD" w14:textId="77777777" w:rsidR="00861E5D" w:rsidRPr="00861E5D" w:rsidRDefault="00861E5D" w:rsidP="00861E5D">
      <w:pPr>
        <w:jc w:val="both"/>
        <w:rPr>
          <w:rFonts w:ascii="Times New Roman" w:hAnsi="Times New Roman" w:cs="Times New Roman"/>
          <w:lang w:val="en-GB"/>
        </w:rPr>
      </w:pPr>
      <w:r w:rsidRPr="00861E5D">
        <w:rPr>
          <w:rFonts w:ascii="Times New Roman" w:hAnsi="Times New Roman" w:cs="Times New Roman"/>
          <w:lang w:val="en-GB"/>
        </w:rPr>
        <w:t>We also recognise the value of ACT-TWIN in strengthening Estonia’s broader innovation ecosystem by improving the institutional capacity required for interdisciplinary collaboration, validation of complex technologies, and the future scaling of research-based solutions.</w:t>
      </w:r>
    </w:p>
    <w:p w14:paraId="6CF473E4" w14:textId="77777777" w:rsidR="00861E5D" w:rsidRDefault="00861E5D" w:rsidP="00861E5D">
      <w:pPr>
        <w:jc w:val="both"/>
        <w:rPr>
          <w:rFonts w:ascii="Times New Roman" w:hAnsi="Times New Roman" w:cs="Times New Roman"/>
          <w:lang w:val="en-GB"/>
        </w:rPr>
      </w:pPr>
      <w:r w:rsidRPr="00861E5D">
        <w:rPr>
          <w:rFonts w:ascii="Times New Roman" w:hAnsi="Times New Roman" w:cs="Times New Roman"/>
          <w:lang w:val="en-GB"/>
        </w:rPr>
        <w:lastRenderedPageBreak/>
        <w:t xml:space="preserve">We therefore support the objectives of ACT-TWIN and welcome continued dialogue with </w:t>
      </w:r>
      <w:proofErr w:type="spellStart"/>
      <w:r w:rsidRPr="00861E5D">
        <w:rPr>
          <w:rFonts w:ascii="Times New Roman" w:hAnsi="Times New Roman" w:cs="Times New Roman"/>
          <w:lang w:val="en-GB"/>
        </w:rPr>
        <w:t>TalTech</w:t>
      </w:r>
      <w:proofErr w:type="spellEnd"/>
      <w:r w:rsidRPr="00861E5D">
        <w:rPr>
          <w:rFonts w:ascii="Times New Roman" w:hAnsi="Times New Roman" w:cs="Times New Roman"/>
          <w:lang w:val="en-GB"/>
        </w:rPr>
        <w:t xml:space="preserve"> and the consortium regarding relevant policy, innovation, and testbed cooperation opportunities arising from the project.</w:t>
      </w:r>
    </w:p>
    <w:p w14:paraId="6D465B47" w14:textId="77777777" w:rsidR="00861E5D" w:rsidRPr="00861E5D" w:rsidRDefault="00861E5D" w:rsidP="00861E5D">
      <w:pPr>
        <w:jc w:val="both"/>
        <w:rPr>
          <w:rFonts w:ascii="Times New Roman" w:hAnsi="Times New Roman" w:cs="Times New Roman"/>
          <w:lang w:val="en-GB"/>
        </w:rPr>
      </w:pPr>
    </w:p>
    <w:p w14:paraId="790EEA76" w14:textId="77777777" w:rsidR="00861E5D" w:rsidRPr="00861E5D" w:rsidRDefault="00861E5D" w:rsidP="00861E5D">
      <w:pPr>
        <w:jc w:val="both"/>
        <w:rPr>
          <w:rFonts w:ascii="Times New Roman" w:hAnsi="Times New Roman" w:cs="Times New Roman"/>
          <w:lang w:val="en-GB"/>
        </w:rPr>
      </w:pPr>
      <w:r w:rsidRPr="00861E5D">
        <w:rPr>
          <w:rFonts w:ascii="Times New Roman" w:hAnsi="Times New Roman" w:cs="Times New Roman"/>
          <w:lang w:val="en-GB"/>
        </w:rPr>
        <w:t>Sincerely,</w:t>
      </w:r>
      <w:r w:rsidRPr="00861E5D">
        <w:rPr>
          <w:rFonts w:ascii="Times New Roman" w:hAnsi="Times New Roman" w:cs="Times New Roman"/>
          <w:lang w:val="en-GB"/>
        </w:rPr>
        <w:br/>
        <w:t>[Name]</w:t>
      </w:r>
      <w:r w:rsidRPr="00861E5D">
        <w:rPr>
          <w:rFonts w:ascii="Times New Roman" w:hAnsi="Times New Roman" w:cs="Times New Roman"/>
          <w:lang w:val="en-GB"/>
        </w:rPr>
        <w:br/>
        <w:t>[Title]</w:t>
      </w:r>
      <w:r w:rsidRPr="00861E5D">
        <w:rPr>
          <w:rFonts w:ascii="Times New Roman" w:hAnsi="Times New Roman" w:cs="Times New Roman"/>
          <w:lang w:val="en-GB"/>
        </w:rPr>
        <w:br/>
        <w:t>[Institution]</w:t>
      </w:r>
      <w:r w:rsidRPr="00861E5D">
        <w:rPr>
          <w:rFonts w:ascii="Times New Roman" w:hAnsi="Times New Roman" w:cs="Times New Roman"/>
          <w:lang w:val="en-GB"/>
        </w:rPr>
        <w:br/>
        <w:t>[Date]</w:t>
      </w:r>
    </w:p>
    <w:p w14:paraId="5C686103" w14:textId="77777777" w:rsidR="005A53A6" w:rsidRPr="00DE5579" w:rsidRDefault="005A53A6" w:rsidP="00861E5D">
      <w:pPr>
        <w:jc w:val="both"/>
        <w:rPr>
          <w:rFonts w:ascii="Times New Roman" w:hAnsi="Times New Roman" w:cs="Times New Roman"/>
        </w:rPr>
      </w:pPr>
    </w:p>
    <w:sectPr w:rsidR="005A53A6" w:rsidRPr="00DE5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0BEA"/>
    <w:multiLevelType w:val="multilevel"/>
    <w:tmpl w:val="A4A24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8E2616"/>
    <w:multiLevelType w:val="multilevel"/>
    <w:tmpl w:val="B068FF5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819327">
    <w:abstractNumId w:val="1"/>
  </w:num>
  <w:num w:numId="2" w16cid:durableId="81267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79"/>
    <w:rsid w:val="00584CAB"/>
    <w:rsid w:val="005A53A6"/>
    <w:rsid w:val="00737186"/>
    <w:rsid w:val="00861E5D"/>
    <w:rsid w:val="00D46B75"/>
    <w:rsid w:val="00DE55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40FE"/>
  <w15:chartTrackingRefBased/>
  <w15:docId w15:val="{6279AC40-F81E-4F0D-B9B4-E072698A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579"/>
    <w:rPr>
      <w:rFonts w:eastAsiaTheme="majorEastAsia" w:cstheme="majorBidi"/>
      <w:color w:val="272727" w:themeColor="text1" w:themeTint="D8"/>
    </w:rPr>
  </w:style>
  <w:style w:type="paragraph" w:styleId="Title">
    <w:name w:val="Title"/>
    <w:basedOn w:val="Normal"/>
    <w:next w:val="Normal"/>
    <w:link w:val="TitleChar"/>
    <w:uiPriority w:val="10"/>
    <w:qFormat/>
    <w:rsid w:val="00DE5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579"/>
    <w:pPr>
      <w:spacing w:before="160"/>
      <w:jc w:val="center"/>
    </w:pPr>
    <w:rPr>
      <w:i/>
      <w:iCs/>
      <w:color w:val="404040" w:themeColor="text1" w:themeTint="BF"/>
    </w:rPr>
  </w:style>
  <w:style w:type="character" w:customStyle="1" w:styleId="QuoteChar">
    <w:name w:val="Quote Char"/>
    <w:basedOn w:val="DefaultParagraphFont"/>
    <w:link w:val="Quote"/>
    <w:uiPriority w:val="29"/>
    <w:rsid w:val="00DE5579"/>
    <w:rPr>
      <w:i/>
      <w:iCs/>
      <w:color w:val="404040" w:themeColor="text1" w:themeTint="BF"/>
    </w:rPr>
  </w:style>
  <w:style w:type="paragraph" w:styleId="ListParagraph">
    <w:name w:val="List Paragraph"/>
    <w:basedOn w:val="Normal"/>
    <w:uiPriority w:val="34"/>
    <w:qFormat/>
    <w:rsid w:val="00DE5579"/>
    <w:pPr>
      <w:ind w:left="720"/>
      <w:contextualSpacing/>
    </w:pPr>
  </w:style>
  <w:style w:type="character" w:styleId="IntenseEmphasis">
    <w:name w:val="Intense Emphasis"/>
    <w:basedOn w:val="DefaultParagraphFont"/>
    <w:uiPriority w:val="21"/>
    <w:qFormat/>
    <w:rsid w:val="00DE5579"/>
    <w:rPr>
      <w:i/>
      <w:iCs/>
      <w:color w:val="0F4761" w:themeColor="accent1" w:themeShade="BF"/>
    </w:rPr>
  </w:style>
  <w:style w:type="paragraph" w:styleId="IntenseQuote">
    <w:name w:val="Intense Quote"/>
    <w:basedOn w:val="Normal"/>
    <w:next w:val="Normal"/>
    <w:link w:val="IntenseQuoteChar"/>
    <w:uiPriority w:val="30"/>
    <w:qFormat/>
    <w:rsid w:val="00DE5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579"/>
    <w:rPr>
      <w:i/>
      <w:iCs/>
      <w:color w:val="0F4761" w:themeColor="accent1" w:themeShade="BF"/>
    </w:rPr>
  </w:style>
  <w:style w:type="character" w:styleId="IntenseReference">
    <w:name w:val="Intense Reference"/>
    <w:basedOn w:val="DefaultParagraphFont"/>
    <w:uiPriority w:val="32"/>
    <w:qFormat/>
    <w:rsid w:val="00DE55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Helery Tasane</dc:creator>
  <cp:keywords/>
  <dc:description/>
  <cp:lastModifiedBy>Helery Tasane</cp:lastModifiedBy>
  <cp:revision>2</cp:revision>
  <dcterms:created xsi:type="dcterms:W3CDTF">2026-03-29T18:05:00Z</dcterms:created>
  <dcterms:modified xsi:type="dcterms:W3CDTF">2026-03-29T18:15:00Z</dcterms:modified>
</cp:coreProperties>
</file>